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附件：     </w:t>
      </w:r>
    </w:p>
    <w:p>
      <w:pPr>
        <w:spacing w:line="7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202</w:t>
      </w:r>
      <w:r>
        <w:rPr>
          <w:rFonts w:hint="default" w:ascii="宋体" w:hAnsi="宋体" w:cs="宋体"/>
          <w:b/>
          <w:bCs/>
          <w:sz w:val="36"/>
          <w:szCs w:val="36"/>
        </w:rPr>
        <w:t>2</w:t>
      </w:r>
      <w:r>
        <w:rPr>
          <w:rFonts w:hint="eastAsia" w:ascii="宋体" w:hAnsi="宋体" w:cs="宋体"/>
          <w:b/>
          <w:bCs/>
          <w:sz w:val="36"/>
          <w:szCs w:val="36"/>
        </w:rPr>
        <w:t>年度化工物流行业百强统计工作信息收集表</w:t>
      </w:r>
    </w:p>
    <w:p>
      <w:pPr>
        <w:spacing w:line="700" w:lineRule="exact"/>
        <w:rPr>
          <w:rFonts w:ascii="宋体" w:hAnsi="宋体"/>
          <w:sz w:val="24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填表说明：</w:t>
      </w:r>
      <w:r>
        <w:rPr>
          <w:rFonts w:hint="eastAsia" w:ascii="宋体" w:hAnsi="宋体"/>
          <w:sz w:val="24"/>
        </w:rPr>
        <w:t>报送企业申报表的同时，请提供以下材料：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企业简介；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营业执照副本复印件；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企业20</w:t>
      </w:r>
      <w:r>
        <w:rPr>
          <w:rFonts w:hint="default" w:ascii="宋体" w:hAnsi="宋体"/>
          <w:sz w:val="24"/>
        </w:rPr>
        <w:t>21</w:t>
      </w:r>
      <w:r>
        <w:rPr>
          <w:rFonts w:hint="eastAsia" w:ascii="宋体" w:hAnsi="宋体"/>
          <w:sz w:val="24"/>
        </w:rPr>
        <w:t>年度的资产负债表、损益表和利润表；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与</w:t>
      </w:r>
      <w:r>
        <w:rPr>
          <w:rFonts w:hint="eastAsia" w:ascii="宋体" w:hAnsi="宋体"/>
          <w:sz w:val="24"/>
        </w:rPr>
        <w:t>世界化工500强</w:t>
      </w:r>
      <w:r>
        <w:rPr>
          <w:rFonts w:hint="eastAsia" w:ascii="宋体" w:hAnsi="宋体"/>
          <w:sz w:val="24"/>
          <w:lang w:val="en-US" w:eastAsia="zh-CN"/>
        </w:rPr>
        <w:t>合作</w:t>
      </w:r>
      <w:r>
        <w:rPr>
          <w:rFonts w:hint="eastAsia" w:ascii="宋体" w:hAnsi="宋体"/>
          <w:sz w:val="24"/>
        </w:rPr>
        <w:t>客户的</w:t>
      </w:r>
      <w:r>
        <w:rPr>
          <w:rFonts w:hint="eastAsia" w:ascii="宋体" w:hAnsi="宋体"/>
          <w:sz w:val="24"/>
          <w:lang w:val="en-US" w:eastAsia="zh-CN"/>
        </w:rPr>
        <w:t>名称</w:t>
      </w:r>
      <w:r>
        <w:rPr>
          <w:rFonts w:hint="eastAsia" w:ascii="宋体" w:hAnsi="宋体"/>
          <w:sz w:val="24"/>
        </w:rPr>
        <w:t>；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提供</w:t>
      </w:r>
      <w:r>
        <w:rPr>
          <w:rFonts w:hint="eastAsia" w:ascii="宋体" w:hAnsi="宋体"/>
          <w:sz w:val="24"/>
        </w:rPr>
        <w:t>安全生产标准检查证书（安监、交通部门下发）；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提供</w:t>
      </w:r>
      <w:r>
        <w:rPr>
          <w:rFonts w:hint="eastAsia" w:ascii="宋体" w:hAnsi="宋体"/>
          <w:sz w:val="24"/>
        </w:rPr>
        <w:t>质量管理体系证书、环境管理体系认证及职业健康安全管理体系认证证明；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企业组织架构</w:t>
      </w:r>
      <w:r>
        <w:rPr>
          <w:rFonts w:hint="eastAsia" w:ascii="宋体" w:hAnsi="宋体"/>
          <w:sz w:val="24"/>
          <w:lang w:val="en-US" w:eastAsia="zh-CN"/>
        </w:rPr>
        <w:t>资料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资质证书、获奖证书等复印件或图片。</w:t>
      </w:r>
    </w:p>
    <w:p>
      <w:pPr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评鉴标准：</w:t>
      </w:r>
      <w:r>
        <w:rPr>
          <w:rFonts w:hint="eastAsia" w:ascii="宋体" w:hAnsi="宋体"/>
          <w:sz w:val="24"/>
        </w:rPr>
        <w:t>具备一定的规模，在</w:t>
      </w:r>
      <w:r>
        <w:rPr>
          <w:rFonts w:hint="eastAsia" w:ascii="宋体" w:hAnsi="宋体"/>
          <w:color w:val="auto"/>
          <w:sz w:val="24"/>
          <w:lang w:val="en-US" w:eastAsia="zh-CN"/>
        </w:rPr>
        <w:t>安全管理</w:t>
      </w:r>
      <w:r>
        <w:rPr>
          <w:rFonts w:hint="eastAsia" w:ascii="宋体" w:hAnsi="宋体"/>
          <w:sz w:val="24"/>
          <w:lang w:val="en-US" w:eastAsia="zh-CN"/>
        </w:rPr>
        <w:t>、</w:t>
      </w:r>
      <w:r>
        <w:rPr>
          <w:rFonts w:hint="eastAsia" w:ascii="宋体" w:hAnsi="宋体"/>
          <w:sz w:val="24"/>
        </w:rPr>
        <w:t>服务响应速度和服务态度方面表现优秀，在运输协调能力、网络覆盖率等方面属行业当中的佼佼者。</w:t>
      </w:r>
    </w:p>
    <w:p>
      <w:pPr>
        <w:snapToGrid w:val="0"/>
        <w:spacing w:line="360" w:lineRule="auto"/>
        <w:rPr>
          <w:rFonts w:hint="eastAsia" w:ascii="宋体" w:hAnsi="宋体"/>
          <w:sz w:val="24"/>
        </w:rPr>
      </w:pPr>
    </w:p>
    <w:p>
      <w:pPr>
        <w:snapToGrid w:val="0"/>
        <w:spacing w:line="360" w:lineRule="auto"/>
        <w:jc w:val="center"/>
        <w:rPr>
          <w:rFonts w:ascii="黑体" w:hAnsi="黑体" w:eastAsia="黑体" w:cs="黑体"/>
          <w:b/>
          <w:bCs/>
          <w:sz w:val="24"/>
        </w:rPr>
      </w:pP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化工品</w:t>
      </w:r>
      <w:r>
        <w:rPr>
          <w:rFonts w:hint="eastAsia" w:ascii="宋体" w:hAnsi="宋体"/>
          <w:b/>
          <w:bCs/>
          <w:sz w:val="24"/>
          <w:lang w:val="en-US" w:eastAsia="zh-CN"/>
        </w:rPr>
        <w:t>水运百强服务商</w:t>
      </w: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百强统计工作表格</w:t>
      </w:r>
    </w:p>
    <w:tbl>
      <w:tblPr>
        <w:tblStyle w:val="3"/>
        <w:tblW w:w="8511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343"/>
        <w:gridCol w:w="890"/>
        <w:gridCol w:w="145"/>
        <w:gridCol w:w="1503"/>
        <w:gridCol w:w="19"/>
        <w:gridCol w:w="274"/>
        <w:gridCol w:w="979"/>
        <w:gridCol w:w="171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企业名称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法定代表人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总经理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地址、邮编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注册资本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资产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总额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企业性质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□ 国有      □ 民营     □ 股份制    □ 合资     □ 外资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经营范围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江船     </w:t>
            </w:r>
            <w:r>
              <w:rPr>
                <w:rFonts w:hint="eastAsia" w:ascii="宋体" w:hAnsi="宋体"/>
                <w:szCs w:val="21"/>
              </w:rPr>
              <w:t xml:space="preserve"> □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海船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人员规模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ind w:left="-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20名（含）以上   □ 50名（含）以上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□ 100名（含）以上</w:t>
            </w:r>
          </w:p>
          <w:p>
            <w:pPr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附名单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）</w:t>
            </w:r>
          </w:p>
          <w:p>
            <w:pPr>
              <w:ind w:left="-6"/>
              <w:rPr>
                <w:rFonts w:hint="eastAsia" w:ascii="宋体" w:hAnsi="宋体"/>
                <w:szCs w:val="21"/>
              </w:rPr>
            </w:pPr>
          </w:p>
          <w:p>
            <w:pPr>
              <w:ind w:left="-6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成立时间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ind w:left="-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营业额</w:t>
            </w:r>
          </w:p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（万）</w:t>
            </w:r>
          </w:p>
        </w:tc>
        <w:tc>
          <w:tcPr>
            <w:tcW w:w="1272" w:type="dxa"/>
            <w:gridSpan w:val="3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default" w:ascii="宋体" w:hAnsi="宋体"/>
                <w:b/>
                <w:bCs/>
                <w:szCs w:val="21"/>
              </w:rPr>
              <w:t>2021</w:t>
            </w:r>
            <w:r>
              <w:rPr>
                <w:rFonts w:hint="eastAsia" w:ascii="宋体" w:hAnsi="宋体"/>
                <w:b/>
                <w:bCs/>
                <w:szCs w:val="21"/>
              </w:rPr>
              <w:t>年</w:t>
            </w:r>
          </w:p>
        </w:tc>
        <w:tc>
          <w:tcPr>
            <w:tcW w:w="1710" w:type="dxa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与</w:t>
            </w:r>
            <w:r>
              <w:rPr>
                <w:rFonts w:hint="eastAsia" w:ascii="宋体" w:hAnsi="宋体"/>
                <w:b/>
                <w:bCs/>
                <w:szCs w:val="21"/>
              </w:rPr>
              <w:t>世界化工500强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合作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ind w:firstLine="210" w:firstLineChars="1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2-5家（含2家）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□ 5-10家（含5家）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□ 10家（含）以上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安全生产标准化等级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一级      □ 二级     □ 三级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质量管理体系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6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具备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质量、环境、职业健康安全管理体系认证</w:t>
            </w:r>
            <w:r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物流运作能力</w:t>
            </w:r>
            <w:r>
              <w:rPr>
                <w:rFonts w:hint="eastAsia" w:ascii="宋体" w:hAnsi="宋体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（船舶取证情况）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6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国际石油公司认证_______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6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国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内</w:t>
            </w:r>
            <w:r>
              <w:rPr>
                <w:rFonts w:hint="eastAsia" w:ascii="宋体" w:hAnsi="宋体"/>
                <w:szCs w:val="21"/>
              </w:rPr>
              <w:t>石油公司认证_______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个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自有运力（吨）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gridSpan w:val="3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年运量（吨）</w:t>
            </w:r>
          </w:p>
        </w:tc>
        <w:tc>
          <w:tcPr>
            <w:tcW w:w="2963" w:type="dxa"/>
            <w:gridSpan w:val="3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事故情况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□ 重大事故        □ 一般事故         □ 无事故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社会责任</w:t>
            </w:r>
          </w:p>
        </w:tc>
        <w:tc>
          <w:tcPr>
            <w:tcW w:w="1343" w:type="dxa"/>
            <w:vAlign w:val="center"/>
          </w:tcPr>
          <w:p>
            <w:pPr>
              <w:pStyle w:val="2"/>
              <w:widowControl/>
              <w:spacing w:before="150" w:after="376" w:line="375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Tahoma" w:hAnsi="Tahoma" w:eastAsia="Tahoma" w:cs="Tahoma"/>
                <w:b/>
                <w:bCs/>
                <w:sz w:val="21"/>
                <w:szCs w:val="21"/>
              </w:rPr>
              <w:t>环保</w:t>
            </w:r>
            <w:r>
              <w:rPr>
                <w:rFonts w:hint="eastAsia" w:ascii="Tahoma" w:hAnsi="Tahoma" w:cs="Tahoma"/>
                <w:b/>
                <w:bCs/>
                <w:sz w:val="21"/>
                <w:szCs w:val="21"/>
              </w:rPr>
              <w:t>方面</w:t>
            </w:r>
          </w:p>
        </w:tc>
        <w:tc>
          <w:tcPr>
            <w:tcW w:w="5520" w:type="dxa"/>
            <w:gridSpan w:val="7"/>
            <w:vAlign w:val="center"/>
          </w:tcPr>
          <w:p>
            <w:pPr>
              <w:pStyle w:val="2"/>
              <w:widowControl/>
              <w:spacing w:before="150" w:after="376" w:line="375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低碳经济</w:t>
            </w:r>
            <w:r>
              <w:rPr>
                <w:rFonts w:hint="eastAsia" w:ascii="Tahoma" w:hAnsi="Tahoma" w:cs="Tahoma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节能减排</w:t>
            </w:r>
            <w:r>
              <w:rPr>
                <w:rFonts w:hint="eastAsia" w:ascii="Tahoma" w:hAnsi="Tahoma" w:cs="Tahoma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环境保护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</w:trPr>
        <w:tc>
          <w:tcPr>
            <w:tcW w:w="16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pStyle w:val="2"/>
              <w:widowControl/>
              <w:spacing w:before="150" w:after="376" w:line="375" w:lineRule="atLeast"/>
              <w:rPr>
                <w:rFonts w:ascii="Tahoma" w:hAnsi="Tahoma" w:eastAsia="Tahoma" w:cs="Tahoma"/>
                <w:sz w:val="21"/>
                <w:szCs w:val="21"/>
              </w:rPr>
            </w:pPr>
            <w:r>
              <w:rPr>
                <w:rFonts w:hint="eastAsia" w:ascii="Tahoma" w:hAnsi="Tahoma" w:eastAsia="Tahoma" w:cs="Tahom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Tahoma" w:hAnsi="Tahoma" w:cs="Tahoma"/>
                <w:b/>
                <w:bCs/>
                <w:sz w:val="21"/>
                <w:szCs w:val="21"/>
                <w:lang w:val="en-US" w:eastAsia="zh-CN"/>
              </w:rPr>
              <w:t>紧急救援</w:t>
            </w:r>
          </w:p>
        </w:tc>
        <w:tc>
          <w:tcPr>
            <w:tcW w:w="5520" w:type="dxa"/>
            <w:gridSpan w:val="7"/>
            <w:vAlign w:val="center"/>
          </w:tcPr>
          <w:p>
            <w:pPr>
              <w:pStyle w:val="2"/>
              <w:widowControl/>
              <w:spacing w:before="150" w:after="376" w:line="375" w:lineRule="atLeast"/>
              <w:rPr>
                <w:rFonts w:ascii="Tahoma" w:hAnsi="Tahoma" w:eastAsia="Tahoma" w:cs="Tahoma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具备紧急救援</w:t>
            </w:r>
            <w:r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  <w:t xml:space="preserve">能力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  <w:t>专业救援团队</w:t>
            </w:r>
            <w:r>
              <w:rPr>
                <w:rFonts w:hint="eastAsia" w:ascii="Tahoma" w:hAnsi="Tahoma" w:cs="Tahoma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主导参与紧急救援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</w:trPr>
        <w:tc>
          <w:tcPr>
            <w:tcW w:w="16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政策、标准</w:t>
            </w:r>
          </w:p>
        </w:tc>
        <w:tc>
          <w:tcPr>
            <w:tcW w:w="5520" w:type="dxa"/>
            <w:gridSpan w:val="7"/>
            <w:vAlign w:val="center"/>
          </w:tcPr>
          <w:p>
            <w:pPr>
              <w:pStyle w:val="2"/>
              <w:widowControl/>
              <w:spacing w:before="150" w:after="376" w:line="375" w:lineRule="atLeast"/>
              <w:rPr>
                <w:rFonts w:hint="eastAsia" w:ascii="Tahoma" w:hAnsi="Tahoma" w:eastAsia="Tahoma" w:cs="Tahoma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 xml:space="preserve"> 参与行业、国家标准、法规编制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br w:type="textWrapping"/>
            </w:r>
            <w:r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  <w:t>附：参与标准、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法规</w:t>
            </w:r>
            <w:r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  <w:t>的名字</w:t>
            </w:r>
          </w:p>
          <w:p>
            <w:pPr>
              <w:pStyle w:val="2"/>
              <w:widowControl/>
              <w:spacing w:before="150" w:after="376" w:line="375" w:lineRule="atLeast"/>
              <w:rPr>
                <w:rFonts w:hint="eastAsia" w:ascii="Tahoma" w:hAnsi="Tahoma" w:eastAsia="Tahoma" w:cs="Tahoma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16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曾获奖励、荣誉（近2年省级以上）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意见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我单位承诺提报的信息、材料真实有效。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     单位盖章 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年      月        日</w:t>
            </w:r>
          </w:p>
        </w:tc>
      </w:tr>
    </w:tbl>
    <w:p>
      <w:pPr>
        <w:spacing w:before="156" w:beforeLines="50" w:line="360" w:lineRule="auto"/>
        <w:rPr>
          <w:rFonts w:hint="eastAsia" w:ascii="仿宋_GB2312" w:hAnsi="宋体" w:eastAsia="仿宋_GB2312"/>
          <w:b/>
          <w:bCs/>
          <w:sz w:val="24"/>
          <w:lang w:eastAsia="zh-CN"/>
        </w:rPr>
      </w:pPr>
      <w:r>
        <w:rPr>
          <w:rFonts w:hint="eastAsia" w:ascii="仿宋_GB2312" w:hAnsi="宋体" w:eastAsia="仿宋_GB2312"/>
          <w:b/>
          <w:bCs/>
          <w:sz w:val="24"/>
          <w:lang w:val="en-US" w:eastAsia="zh-CN"/>
        </w:rPr>
        <w:t>备注：水运企业1年内，如发生重大事故如爆炸、泄露、火灾、交通事故等，造成生命财产损失不可申请本次</w:t>
      </w:r>
      <w:r>
        <w:rPr>
          <w:rFonts w:hint="eastAsia" w:ascii="仿宋_GB2312" w:hAnsi="宋体" w:eastAsia="仿宋_GB2312"/>
          <w:b/>
          <w:bCs/>
          <w:sz w:val="24"/>
          <w:lang w:eastAsia="zh-CN"/>
        </w:rPr>
        <w:t>百强</w:t>
      </w:r>
      <w:r>
        <w:rPr>
          <w:rFonts w:hint="eastAsia" w:ascii="仿宋_GB2312" w:hAnsi="宋体" w:eastAsia="仿宋_GB2312"/>
          <w:b/>
          <w:bCs/>
          <w:sz w:val="24"/>
          <w:lang w:val="en-US" w:eastAsia="zh-CN"/>
        </w:rPr>
        <w:t>企业统计。连续三年无较大责任交通事故，提交《过去三年无较大责任交通事故告知书》。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textAlignment w:val="auto"/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>请详细填写表格并提供相关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材料</w:t>
      </w:r>
      <w:bookmarkStart w:id="0" w:name="_GoBack"/>
      <w:bookmarkEnd w:id="0"/>
      <w:r>
        <w:rPr>
          <w:rFonts w:hint="eastAsia" w:ascii="仿宋_GB2312" w:hAnsi="宋体" w:eastAsia="仿宋_GB2312"/>
          <w:b w:val="0"/>
          <w:bCs w:val="0"/>
          <w:sz w:val="24"/>
        </w:rPr>
        <w:t>，20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2</w:t>
      </w:r>
      <w:r>
        <w:rPr>
          <w:rFonts w:hint="default" w:ascii="仿宋_GB2312" w:hAnsi="宋体" w:eastAsia="仿宋_GB2312"/>
          <w:b w:val="0"/>
          <w:bCs w:val="0"/>
          <w:sz w:val="24"/>
          <w:lang w:eastAsia="zh-CN"/>
        </w:rPr>
        <w:t>2</w:t>
      </w:r>
      <w:r>
        <w:rPr>
          <w:rFonts w:hint="eastAsia" w:ascii="仿宋_GB2312" w:hAnsi="宋体" w:eastAsia="仿宋_GB2312"/>
          <w:b w:val="0"/>
          <w:bCs w:val="0"/>
          <w:sz w:val="24"/>
        </w:rPr>
        <w:t>年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b w:val="0"/>
          <w:bCs w:val="0"/>
          <w:sz w:val="24"/>
        </w:rPr>
        <w:t>月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15</w:t>
      </w:r>
      <w:r>
        <w:rPr>
          <w:rFonts w:hint="eastAsia" w:ascii="仿宋_GB2312" w:hAnsi="宋体" w:eastAsia="仿宋_GB2312"/>
          <w:b w:val="0"/>
          <w:bCs w:val="0"/>
          <w:sz w:val="24"/>
        </w:rPr>
        <w:t>日前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盖章扫描发送</w:t>
      </w:r>
      <w:r>
        <w:rPr>
          <w:rFonts w:hint="eastAsia" w:ascii="仿宋_GB2312" w:hAnsi="宋体" w:eastAsia="仿宋_GB2312"/>
          <w:b w:val="0"/>
          <w:bCs w:val="0"/>
          <w:sz w:val="24"/>
        </w:rPr>
        <w:t>秘书处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工作人员</w:t>
      </w:r>
      <w:r>
        <w:rPr>
          <w:rFonts w:hint="eastAsia" w:ascii="仿宋_GB2312" w:hAnsi="宋体" w:eastAsia="仿宋_GB2312"/>
          <w:b w:val="0"/>
          <w:bCs w:val="0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宋体" w:eastAsia="仿宋_GB2312"/>
          <w:b w:val="0"/>
          <w:bCs w:val="0"/>
          <w:sz w:val="24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>中国物流与采购联合会危化品物流分会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宋体" w:eastAsia="仿宋_GB2312" w:cs="Times New Roman"/>
          <w:b w:val="0"/>
          <w:bCs w:val="0"/>
          <w:sz w:val="24"/>
        </w:rPr>
      </w:pPr>
      <w:r>
        <w:rPr>
          <w:rFonts w:hint="eastAsia" w:ascii="仿宋_GB2312" w:hAnsi="宋体" w:eastAsia="仿宋_GB2312" w:cs="Times New Roman"/>
          <w:b w:val="0"/>
          <w:bCs w:val="0"/>
          <w:sz w:val="24"/>
          <w:lang w:val="en-US" w:eastAsia="zh-CN"/>
        </w:rPr>
        <w:t>联系人：</w:t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t>蔡执阳</w:t>
      </w:r>
      <w:r>
        <w:rPr>
          <w:rFonts w:hint="eastAsia" w:ascii="仿宋_GB2312" w:hAnsi="宋体" w:eastAsia="仿宋_GB2312" w:cs="Times New Roman"/>
          <w:b w:val="0"/>
          <w:bCs w:val="0"/>
          <w:sz w:val="24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t>左雷</w:t>
      </w:r>
      <w:r>
        <w:rPr>
          <w:rFonts w:hint="eastAsia" w:ascii="仿宋_GB2312" w:hAnsi="宋体" w:eastAsia="仿宋_GB2312" w:cs="Times New Roman"/>
          <w:b w:val="0"/>
          <w:bCs w:val="0"/>
          <w:sz w:val="24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t>李彦波</w:t>
      </w:r>
      <w:r>
        <w:rPr>
          <w:rFonts w:hint="eastAsia" w:ascii="仿宋_GB2312" w:hAnsi="宋体" w:eastAsia="仿宋_GB2312" w:cs="Times New Roman"/>
          <w:b w:val="0"/>
          <w:bCs w:val="0"/>
          <w:sz w:val="24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t>韩冰</w:t>
      </w:r>
      <w:r>
        <w:rPr>
          <w:rFonts w:hint="eastAsia" w:ascii="仿宋_GB2312" w:hAnsi="宋体" w:eastAsia="仿宋_GB2312" w:cs="Times New Roman"/>
          <w:b w:val="0"/>
          <w:bCs w:val="0"/>
          <w:sz w:val="24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t>于鹏程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宋体" w:eastAsia="仿宋_GB2312" w:cs="Times New Roman"/>
          <w:b w:val="0"/>
          <w:bCs w:val="0"/>
          <w:sz w:val="24"/>
        </w:rPr>
      </w:pPr>
      <w:r>
        <w:rPr>
          <w:rFonts w:hint="eastAsia" w:ascii="仿宋_GB2312" w:hAnsi="宋体" w:eastAsia="仿宋_GB2312" w:cs="Times New Roman"/>
          <w:b w:val="0"/>
          <w:bCs w:val="0"/>
          <w:sz w:val="24"/>
          <w:lang w:val="en-US" w:eastAsia="zh-CN"/>
        </w:rPr>
        <w:t>电话：</w:t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t>13693513749</w:t>
      </w:r>
      <w:r>
        <w:rPr>
          <w:rFonts w:hint="eastAsia" w:ascii="仿宋_GB2312" w:hAnsi="宋体" w:eastAsia="仿宋_GB2312" w:cs="Times New Roman"/>
          <w:b w:val="0"/>
          <w:bCs w:val="0"/>
          <w:sz w:val="24"/>
          <w:lang w:val="en-US" w:eastAsia="zh-CN"/>
        </w:rPr>
        <w:t xml:space="preserve">    邮箱：</w:t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fldChar w:fldCharType="begin"/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instrText xml:space="preserve">HYPERLINK "mailto:czy@liot.org.cn"</w:instrText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fldChar w:fldCharType="separate"/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t>czy@liot.org.cn</w:t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fldChar w:fldCharType="end"/>
      </w:r>
    </w:p>
    <w:p>
      <w:pPr>
        <w:spacing w:line="360" w:lineRule="auto"/>
        <w:rPr>
          <w:b w:val="0"/>
          <w:bCs w:val="0"/>
        </w:rPr>
      </w:pPr>
      <w:r>
        <w:rPr>
          <w:rFonts w:hint="eastAsia" w:ascii="仿宋_GB2312" w:hAnsi="宋体" w:eastAsia="仿宋_GB2312" w:cs="Times New Roman"/>
          <w:b w:val="0"/>
          <w:bCs w:val="0"/>
          <w:sz w:val="24"/>
        </w:rPr>
        <w:t>地址：</w:t>
      </w:r>
      <w:r>
        <w:rPr>
          <w:rFonts w:hint="eastAsia" w:ascii="仿宋_GB2312" w:hAnsi="宋体" w:eastAsia="仿宋_GB2312" w:cs="Times New Roman"/>
          <w:b w:val="0"/>
          <w:bCs w:val="0"/>
          <w:sz w:val="24"/>
          <w:lang w:val="en-US" w:eastAsia="zh-CN"/>
        </w:rPr>
        <w:t>北京市丰台区丽泽路16号院2号楼铭丰大厦1001室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C30A34"/>
    <w:multiLevelType w:val="singleLevel"/>
    <w:tmpl w:val="55C30A3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50513"/>
    <w:rsid w:val="1344630A"/>
    <w:rsid w:val="160C77E0"/>
    <w:rsid w:val="1761712A"/>
    <w:rsid w:val="192C65D8"/>
    <w:rsid w:val="1E462C1B"/>
    <w:rsid w:val="34E30F05"/>
    <w:rsid w:val="39A34734"/>
    <w:rsid w:val="40EB4D03"/>
    <w:rsid w:val="48812128"/>
    <w:rsid w:val="4E0A4E09"/>
    <w:rsid w:val="531768F1"/>
    <w:rsid w:val="5AEA186B"/>
    <w:rsid w:val="5FA52852"/>
    <w:rsid w:val="6F7A48B0"/>
    <w:rsid w:val="759A4BB7"/>
    <w:rsid w:val="7AFE7B59"/>
    <w:rsid w:val="7BC938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line="263" w:lineRule="atLeast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</dc:creator>
  <cp:lastModifiedBy>蔡执阳</cp:lastModifiedBy>
  <dcterms:modified xsi:type="dcterms:W3CDTF">2022-01-24T08:41:38Z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0CDCA05BE3AB4D65A62CDEF36FEC647B</vt:lpwstr>
  </property>
</Properties>
</file>